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AA559B" w:rsidRDefault="00AA559B">
      <w:pPr>
        <w:contextualSpacing/>
      </w:pPr>
    </w:p>
    <w:p w:rsidR="00AA559B" w:rsidRDefault="00AA559B">
      <w:pPr>
        <w:contextualSpacing/>
      </w:pPr>
    </w:p>
    <w:p w:rsidR="00AA559B" w:rsidRDefault="00AA559B">
      <w:pPr>
        <w:contextualSpacing/>
      </w:pPr>
    </w:p>
    <w:p w:rsidR="00AA559B" w:rsidRDefault="00AA559B">
      <w:pPr>
        <w:contextualSpacing/>
      </w:pPr>
    </w:p>
    <w:p w:rsidR="00AA559B" w:rsidRDefault="00AA559B">
      <w:pPr>
        <w:contextualSpacing/>
      </w:pPr>
    </w:p>
    <w:p w:rsidR="00AA559B" w:rsidRDefault="00AA559B">
      <w:pPr>
        <w:contextualSpacing/>
      </w:pPr>
    </w:p>
    <w:p w:rsidR="00AA559B" w:rsidRDefault="00AA559B">
      <w:pPr>
        <w:contextualSpacing/>
      </w:pPr>
    </w:p>
    <w:p w:rsidR="00AA559B" w:rsidRDefault="006E4678" w:rsidP="00AA559B">
      <w:pPr>
        <w:contextualSpacing/>
        <w:jc w:val="center"/>
        <w:rPr>
          <w:b/>
        </w:rPr>
      </w:pPr>
      <w:r>
        <w:rPr>
          <w:b/>
        </w:rPr>
        <w:t>Criminal Law</w:t>
      </w:r>
    </w:p>
    <w:p w:rsidR="00AA559B" w:rsidRDefault="00AA559B" w:rsidP="00AA559B">
      <w:pPr>
        <w:contextualSpacing/>
        <w:jc w:val="center"/>
        <w:rPr>
          <w:b/>
        </w:rPr>
      </w:pPr>
    </w:p>
    <w:p w:rsidR="00AA559B" w:rsidRDefault="00AA559B" w:rsidP="00AA559B">
      <w:pPr>
        <w:contextualSpacing/>
        <w:jc w:val="center"/>
        <w:rPr>
          <w:b/>
        </w:rPr>
      </w:pPr>
    </w:p>
    <w:p w:rsidR="00AA559B" w:rsidRDefault="00AA559B" w:rsidP="00AA559B">
      <w:pPr>
        <w:contextualSpacing/>
        <w:jc w:val="center"/>
        <w:rPr>
          <w:b/>
        </w:rPr>
      </w:pPr>
    </w:p>
    <w:p w:rsidR="00EC437A" w:rsidRDefault="00EC437A" w:rsidP="00AA559B">
      <w:pPr>
        <w:contextualSpacing/>
        <w:jc w:val="center"/>
        <w:rPr>
          <w:b/>
        </w:rPr>
      </w:pPr>
    </w:p>
    <w:p w:rsidR="00AA559B" w:rsidRDefault="00AA559B" w:rsidP="00AA559B">
      <w:pPr>
        <w:contextualSpacing/>
        <w:jc w:val="center"/>
        <w:rPr>
          <w:b/>
        </w:rPr>
      </w:pPr>
    </w:p>
    <w:p w:rsidR="00AA559B" w:rsidRDefault="006E4678" w:rsidP="00AA559B">
      <w:pPr>
        <w:contextualSpacing/>
        <w:jc w:val="center"/>
      </w:pPr>
      <w:r>
        <w:t>(Student’s Name)</w:t>
      </w:r>
    </w:p>
    <w:p w:rsidR="00EC437A" w:rsidRDefault="006E4678" w:rsidP="00AA559B">
      <w:pPr>
        <w:contextualSpacing/>
        <w:jc w:val="center"/>
      </w:pPr>
      <w:r>
        <w:t>(Institution Affiliated)</w:t>
      </w:r>
    </w:p>
    <w:p w:rsidR="00EC437A" w:rsidRDefault="006E4678" w:rsidP="00AA559B">
      <w:pPr>
        <w:contextualSpacing/>
        <w:jc w:val="center"/>
      </w:pPr>
      <w:r>
        <w:t>(Course)</w:t>
      </w:r>
    </w:p>
    <w:p w:rsidR="00EC437A" w:rsidRDefault="006E4678" w:rsidP="00AA559B">
      <w:pPr>
        <w:contextualSpacing/>
        <w:jc w:val="center"/>
      </w:pPr>
      <w:r>
        <w:t>(Date)</w:t>
      </w:r>
    </w:p>
    <w:p w:rsidR="00EC437A" w:rsidRDefault="00EC437A" w:rsidP="00AA559B">
      <w:pPr>
        <w:contextualSpacing/>
        <w:jc w:val="center"/>
      </w:pPr>
    </w:p>
    <w:p w:rsidR="00EC437A" w:rsidRDefault="00EC437A" w:rsidP="00AA559B">
      <w:pPr>
        <w:contextualSpacing/>
        <w:jc w:val="center"/>
      </w:pPr>
    </w:p>
    <w:p w:rsidR="00EC437A" w:rsidRDefault="00EC437A" w:rsidP="00AA559B">
      <w:pPr>
        <w:contextualSpacing/>
        <w:jc w:val="center"/>
      </w:pPr>
    </w:p>
    <w:p w:rsidR="00EC437A" w:rsidRDefault="00EC437A" w:rsidP="00AA559B">
      <w:pPr>
        <w:contextualSpacing/>
        <w:jc w:val="center"/>
      </w:pPr>
    </w:p>
    <w:p w:rsidR="00EC437A" w:rsidRDefault="00EC437A" w:rsidP="00AA559B">
      <w:pPr>
        <w:contextualSpacing/>
        <w:jc w:val="center"/>
      </w:pPr>
    </w:p>
    <w:p w:rsidR="00EC437A" w:rsidRDefault="006E4678" w:rsidP="00AA559B">
      <w:pPr>
        <w:contextualSpacing/>
        <w:jc w:val="center"/>
      </w:pPr>
      <w:r>
        <w:t>Criminal Law</w:t>
      </w:r>
    </w:p>
    <w:p w:rsidR="00EC437A" w:rsidRDefault="006E4678" w:rsidP="00EC437A">
      <w:pPr>
        <w:contextualSpacing/>
        <w:rPr>
          <w:b/>
        </w:rPr>
      </w:pPr>
      <w:r>
        <w:rPr>
          <w:b/>
        </w:rPr>
        <w:lastRenderedPageBreak/>
        <w:t>Question 1</w:t>
      </w:r>
    </w:p>
    <w:p w:rsidR="00EC437A" w:rsidRDefault="006E4678" w:rsidP="00EC437A">
      <w:pPr>
        <w:contextualSpacing/>
      </w:pPr>
      <w:r>
        <w:rPr>
          <w:b/>
        </w:rPr>
        <w:tab/>
      </w:r>
      <w:r>
        <w:t>The criminal justice system aims to uphold justice for all. In achieving this justice, the criminal justice system is empowered to convict and punish and rehabilitate the offenders and, by so doing, protect the rest of the community from these offenders</w:t>
      </w:r>
      <w:r w:rsidR="009E7629">
        <w:t xml:space="preserve"> (Ranjan, </w:t>
      </w:r>
      <w:r w:rsidR="009E7629" w:rsidRPr="009E7629">
        <w:t>2016)</w:t>
      </w:r>
      <w:r>
        <w:t>.</w:t>
      </w:r>
      <w:r w:rsidR="00DD4F27">
        <w:t xml:space="preserve"> Of importance in the criminal system are the prisons, which serve to abate criminal activity by keeping the criminals locked, serving as a form of psychological punishment, and is a correction point for criminals. I do not think that there is any role of the criminal justice system that is above the other because they are all work to maintain justice.</w:t>
      </w:r>
    </w:p>
    <w:p w:rsidR="00DD4F27" w:rsidRDefault="006E4678" w:rsidP="00EC437A">
      <w:pPr>
        <w:contextualSpacing/>
        <w:rPr>
          <w:b/>
        </w:rPr>
      </w:pPr>
      <w:r>
        <w:rPr>
          <w:b/>
        </w:rPr>
        <w:t xml:space="preserve">Question </w:t>
      </w:r>
      <w:r w:rsidR="00A20010">
        <w:rPr>
          <w:b/>
        </w:rPr>
        <w:t>2</w:t>
      </w:r>
    </w:p>
    <w:p w:rsidR="00A52030" w:rsidRDefault="006E4678" w:rsidP="00EC437A">
      <w:pPr>
        <w:contextualSpacing/>
      </w:pPr>
      <w:r>
        <w:rPr>
          <w:b/>
        </w:rPr>
        <w:tab/>
      </w:r>
      <w:r w:rsidR="00A20010">
        <w:t xml:space="preserve"> A person cannot be prosecuted for the same crime twice. This is referred to as the double jeopardy theory, which states that a person cannot be convicted for a crime they have already been convicted or acquitted </w:t>
      </w:r>
      <w:r w:rsidR="007C5158">
        <w:t xml:space="preserve">of (Deshpande, </w:t>
      </w:r>
      <w:r w:rsidR="007C5158" w:rsidRPr="007C5158">
        <w:t>2019)</w:t>
      </w:r>
      <w:r w:rsidR="00A20010">
        <w:t>. For example, if a person kills, they cannot be convicted of murder and manslaughter because they have the same meaning but can be convicted for murder and robbery. If the person is acquitted, they cannot be charged again for the same crime.</w:t>
      </w:r>
      <w:r w:rsidR="00816DEA">
        <w:t xml:space="preserve"> The law provision prevents individuals from being harassed repeatedly for a case that they have already been through and offloads the judiciary of unrelated cases. </w:t>
      </w:r>
    </w:p>
    <w:p w:rsidR="003D6E10" w:rsidRDefault="006E4678" w:rsidP="00EC437A">
      <w:pPr>
        <w:contextualSpacing/>
        <w:rPr>
          <w:b/>
        </w:rPr>
      </w:pPr>
      <w:r>
        <w:rPr>
          <w:b/>
        </w:rPr>
        <w:t>Question 3</w:t>
      </w:r>
    </w:p>
    <w:p w:rsidR="00001B22" w:rsidRDefault="006E4678" w:rsidP="00001B22">
      <w:pPr>
        <w:contextualSpacing/>
      </w:pPr>
      <w:r>
        <w:rPr>
          <w:b/>
        </w:rPr>
        <w:tab/>
      </w:r>
      <w:r w:rsidR="000E64A9">
        <w:t>White-collar crime is a type of nonviolent crime, motivated by finances, and often done by high social status</w:t>
      </w:r>
      <w:r w:rsidR="007C5158">
        <w:t xml:space="preserve"> (</w:t>
      </w:r>
      <w:r w:rsidR="007C5158" w:rsidRPr="007C5158">
        <w:t>B</w:t>
      </w:r>
      <w:r w:rsidR="007C5158">
        <w:t xml:space="preserve">erghoff &amp; Spiekermann, </w:t>
      </w:r>
      <w:r w:rsidR="007C5158" w:rsidRPr="007C5158">
        <w:t>2018)</w:t>
      </w:r>
      <w:r w:rsidR="000E64A9">
        <w:t xml:space="preserve">. An example of a white-collar job is money laundering. A person who has acquired money illegally, for example, through the sale of drugs, makes it look like the money is legal by claiming it comes from a legal business a club or hotel. </w:t>
      </w:r>
      <w:r>
        <w:t xml:space="preserve">The </w:t>
      </w:r>
      <w:r w:rsidRPr="00001B22">
        <w:t>Sarbanes Oxley Act</w:t>
      </w:r>
      <w:r>
        <w:t xml:space="preserve"> is an act that aids in making the enterprises more open in their financial disclosures</w:t>
      </w:r>
      <w:r w:rsidR="00325081">
        <w:t xml:space="preserve"> (Kecskés, </w:t>
      </w:r>
      <w:r w:rsidR="00325081" w:rsidRPr="00325081">
        <w:t>2016)</w:t>
      </w:r>
      <w:r>
        <w:t>. For example, annual external audits compare the results given and detect any fraud or corruption in the company. The</w:t>
      </w:r>
      <w:r w:rsidRPr="00001B22">
        <w:t xml:space="preserve"> Racketeer Influenced and Corrupt </w:t>
      </w:r>
      <w:r w:rsidRPr="00001B22">
        <w:lastRenderedPageBreak/>
        <w:t>Organizations</w:t>
      </w:r>
      <w:r>
        <w:t xml:space="preserve"> (RICO) Act was established to combat criminal cartels, for example, a company engaging in crime. </w:t>
      </w:r>
    </w:p>
    <w:p w:rsidR="00020958" w:rsidRDefault="006E4678" w:rsidP="00001B22">
      <w:pPr>
        <w:contextualSpacing/>
        <w:rPr>
          <w:b/>
        </w:rPr>
      </w:pPr>
      <w:r>
        <w:rPr>
          <w:b/>
        </w:rPr>
        <w:t>Question 4</w:t>
      </w:r>
    </w:p>
    <w:p w:rsidR="00020958" w:rsidRDefault="006E4678" w:rsidP="00001B22">
      <w:pPr>
        <w:contextualSpacing/>
      </w:pPr>
      <w:r>
        <w:rPr>
          <w:b/>
        </w:rPr>
        <w:tab/>
      </w:r>
      <w:r w:rsidR="0043517B" w:rsidRPr="0043517B">
        <w:t>The Computer Fraud and Abuse Act (CFAA)</w:t>
      </w:r>
      <w:r w:rsidR="0043517B">
        <w:t xml:space="preserve"> is an act that was founded to fight cybercrime and unethical hacking. The act was provided to reinforce the existing Comprehensive Crime Act to include more checking of computer-related crimes. In summary, the Act prohibits individuals from unauthorized access to computers that contain sensitive information such as personal information such as ID or bank details</w:t>
      </w:r>
      <w:r w:rsidR="00325081">
        <w:t xml:space="preserve"> (Sellars, </w:t>
      </w:r>
      <w:r w:rsidR="00325081" w:rsidRPr="00325081">
        <w:t>2018)</w:t>
      </w:r>
      <w:r w:rsidR="0043517B">
        <w:t xml:space="preserve">. </w:t>
      </w:r>
      <w:r w:rsidR="00230921">
        <w:t>The act protects information contained in bank computers, government computers, or any other protected computers. The act also covers protection from extortion using computers and illegal acquisition of protected passwords.</w:t>
      </w:r>
    </w:p>
    <w:p w:rsidR="00230921" w:rsidRDefault="006E4678" w:rsidP="00001B22">
      <w:pPr>
        <w:contextualSpacing/>
        <w:rPr>
          <w:b/>
        </w:rPr>
      </w:pPr>
      <w:r>
        <w:rPr>
          <w:b/>
        </w:rPr>
        <w:t>Question 5</w:t>
      </w:r>
    </w:p>
    <w:p w:rsidR="00B52CB3" w:rsidRDefault="006E4678" w:rsidP="00001B22">
      <w:pPr>
        <w:contextualSpacing/>
      </w:pPr>
      <w:r>
        <w:t xml:space="preserve"> A whistleblower is a person who informs the law authorities of criminal activities within an organization. The whistleblower is usually an insider of the organization, which reports about the crime occurring. </w:t>
      </w:r>
      <w:r w:rsidR="00263A5D">
        <w:t>These persons may report crimes such as fraud, corruption, embezzlement, or even abuse of taxpayer funds in a private or public organization.</w:t>
      </w:r>
      <w:r w:rsidR="009E3D10">
        <w:t xml:space="preserve"> </w:t>
      </w:r>
      <w:r w:rsidR="00CD0FC2">
        <w:t>Whistleblowing usually poses several ethical questions to the person. Most notably is the conflict between the values of loyalty or honesty</w:t>
      </w:r>
      <w:r w:rsidR="00325081">
        <w:t xml:space="preserve"> (Berg, </w:t>
      </w:r>
      <w:r w:rsidR="00325081" w:rsidRPr="00325081">
        <w:t>2020)</w:t>
      </w:r>
      <w:r w:rsidR="00CD0FC2">
        <w:t xml:space="preserve">. Any choice that the person makes comes with dire consequences that affect the individual and other people affected. If the whistleblower chooses loyalty, they get to protect their workmates and retain relationships with them. However, by doing so, the individual </w:t>
      </w:r>
      <w:r w:rsidR="00C22817">
        <w:t>causes harm to the taxpayers who may not receive their legally protected benefits because of the crimes in the organization. On the other hand, if the whistleblower chooses honesty, they protect the customers and taxpayers who get their deserved services and bonuses but lose their friends who view them as traitors.</w:t>
      </w: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AA1868" w:rsidP="00001B22">
      <w:pPr>
        <w:contextualSpacing/>
      </w:pPr>
    </w:p>
    <w:p w:rsidR="00AA1868" w:rsidRDefault="006E4678" w:rsidP="00AA1868">
      <w:pPr>
        <w:contextualSpacing/>
        <w:jc w:val="center"/>
        <w:rPr>
          <w:b/>
        </w:rPr>
      </w:pPr>
      <w:r>
        <w:rPr>
          <w:b/>
        </w:rPr>
        <w:t xml:space="preserve">References </w:t>
      </w:r>
    </w:p>
    <w:p w:rsidR="006C4F53" w:rsidRPr="00001B22" w:rsidRDefault="006C4F53" w:rsidP="007C5158">
      <w:pPr>
        <w:ind w:left="720" w:hanging="720"/>
        <w:contextualSpacing/>
      </w:pPr>
      <w:r w:rsidRPr="00325081">
        <w:t>Berg, K. T. (2020). The Ethics of Whistleblowing. </w:t>
      </w:r>
      <w:r w:rsidRPr="00325081">
        <w:rPr>
          <w:i/>
          <w:iCs/>
        </w:rPr>
        <w:t>Journal of Media Ethics</w:t>
      </w:r>
      <w:r w:rsidRPr="00325081">
        <w:t>, </w:t>
      </w:r>
      <w:r w:rsidRPr="00325081">
        <w:rPr>
          <w:i/>
          <w:iCs/>
        </w:rPr>
        <w:t>35</w:t>
      </w:r>
      <w:r w:rsidRPr="00325081">
        <w:t>(1), 60-64.</w:t>
      </w:r>
    </w:p>
    <w:p w:rsidR="006C4F53" w:rsidRDefault="006C4F53" w:rsidP="007C5158">
      <w:pPr>
        <w:ind w:left="720" w:hanging="720"/>
        <w:contextualSpacing/>
      </w:pPr>
      <w:r w:rsidRPr="007C5158">
        <w:t>Berghoff, H., &amp; Spiekermann, U. (2018). Shady business: On the history of white-collar crime.</w:t>
      </w:r>
    </w:p>
    <w:p w:rsidR="006C4F53" w:rsidRDefault="006C4F53" w:rsidP="007C5158">
      <w:pPr>
        <w:ind w:left="720" w:hanging="720"/>
        <w:contextualSpacing/>
      </w:pPr>
      <w:r w:rsidRPr="007C5158">
        <w:lastRenderedPageBreak/>
        <w:t>Deshpande, A. (2019). Double Jeopardy? Stigma of Identity and Affirmative Action. </w:t>
      </w:r>
      <w:r w:rsidRPr="007C5158">
        <w:rPr>
          <w:i/>
          <w:iCs/>
        </w:rPr>
        <w:t>The Review of Black Political Economy</w:t>
      </w:r>
      <w:r w:rsidRPr="007C5158">
        <w:t>, </w:t>
      </w:r>
      <w:r w:rsidRPr="007C5158">
        <w:rPr>
          <w:i/>
          <w:iCs/>
        </w:rPr>
        <w:t>46</w:t>
      </w:r>
      <w:r w:rsidRPr="007C5158">
        <w:t>(1), 38-64.</w:t>
      </w:r>
    </w:p>
    <w:p w:rsidR="006C4F53" w:rsidRDefault="006C4F53" w:rsidP="007C5158">
      <w:pPr>
        <w:ind w:left="720" w:hanging="720"/>
        <w:contextualSpacing/>
      </w:pPr>
      <w:r w:rsidRPr="00325081">
        <w:t>Kecskés, A. (2016). The Sarbanes-Oxley act from a legislative viewpoint. </w:t>
      </w:r>
      <w:r w:rsidRPr="00325081">
        <w:rPr>
          <w:i/>
          <w:iCs/>
        </w:rPr>
        <w:t>The Theory and Practice of Legislation</w:t>
      </w:r>
      <w:r w:rsidRPr="00325081">
        <w:t>, </w:t>
      </w:r>
      <w:r w:rsidRPr="00325081">
        <w:rPr>
          <w:i/>
          <w:iCs/>
        </w:rPr>
        <w:t>4</w:t>
      </w:r>
      <w:r w:rsidRPr="00325081">
        <w:t>(1), 27-43.</w:t>
      </w:r>
    </w:p>
    <w:p w:rsidR="006C4F53" w:rsidRPr="009E7629" w:rsidRDefault="006C4F53" w:rsidP="009E7629">
      <w:pPr>
        <w:ind w:left="720" w:hanging="720"/>
        <w:contextualSpacing/>
      </w:pPr>
      <w:r w:rsidRPr="009E7629">
        <w:t>Ranjan, P. (2016). Criminal justice delivery system: Role of society and enforcement functionaries. </w:t>
      </w:r>
      <w:r w:rsidRPr="009E7629">
        <w:rPr>
          <w:i/>
          <w:iCs/>
        </w:rPr>
        <w:t>International Journal of Research in Social Sciences</w:t>
      </w:r>
      <w:r w:rsidRPr="009E7629">
        <w:t>, </w:t>
      </w:r>
      <w:r w:rsidRPr="009E7629">
        <w:rPr>
          <w:i/>
          <w:iCs/>
        </w:rPr>
        <w:t>6</w:t>
      </w:r>
      <w:r w:rsidRPr="009E7629">
        <w:t>(7), 411-422.</w:t>
      </w:r>
    </w:p>
    <w:p w:rsidR="006C4F53" w:rsidRDefault="006C4F53" w:rsidP="007C5158">
      <w:pPr>
        <w:ind w:left="720" w:hanging="720"/>
        <w:contextualSpacing/>
      </w:pPr>
      <w:r w:rsidRPr="00325081">
        <w:t>Sellars, A. (2018). Twenty Years of Web Scraping and the Computer Fraud and Abuse Act. </w:t>
      </w:r>
      <w:r w:rsidRPr="00325081">
        <w:rPr>
          <w:i/>
          <w:iCs/>
        </w:rPr>
        <w:t>BUJ Sci. &amp; Tech. L.</w:t>
      </w:r>
      <w:r w:rsidRPr="00325081">
        <w:t>, </w:t>
      </w:r>
      <w:r w:rsidRPr="00325081">
        <w:rPr>
          <w:i/>
          <w:iCs/>
        </w:rPr>
        <w:t>24</w:t>
      </w:r>
      <w:r w:rsidRPr="00325081">
        <w:t>, 372.</w:t>
      </w:r>
    </w:p>
    <w:sectPr w:rsidR="006C4F5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E4678" w:rsidRDefault="006E4678">
      <w:pPr>
        <w:spacing w:after="0" w:line="240" w:lineRule="auto"/>
      </w:pPr>
      <w:r>
        <w:separator/>
      </w:r>
    </w:p>
  </w:endnote>
  <w:endnote w:type="continuationSeparator" w:id="0">
    <w:p w:rsidR="006E4678" w:rsidRDefault="006E4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E4678" w:rsidRDefault="006E4678">
      <w:pPr>
        <w:spacing w:after="0" w:line="240" w:lineRule="auto"/>
      </w:pPr>
      <w:r>
        <w:separator/>
      </w:r>
    </w:p>
  </w:footnote>
  <w:footnote w:type="continuationSeparator" w:id="0">
    <w:p w:rsidR="006E4678" w:rsidRDefault="006E4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4985608"/>
      <w:docPartObj>
        <w:docPartGallery w:val="Page Numbers (Top of Page)"/>
        <w:docPartUnique/>
      </w:docPartObj>
    </w:sdtPr>
    <w:sdtEndPr>
      <w:rPr>
        <w:noProof/>
      </w:rPr>
    </w:sdtEndPr>
    <w:sdtContent>
      <w:p w:rsidR="00AA559B" w:rsidRDefault="006E4678">
        <w:pPr>
          <w:pStyle w:val="Header"/>
          <w:jc w:val="right"/>
        </w:pPr>
        <w:r>
          <w:fldChar w:fldCharType="begin"/>
        </w:r>
        <w:r>
          <w:instrText xml:space="preserve"> PAGE   \* MERGEFORMAT </w:instrText>
        </w:r>
        <w:r>
          <w:fldChar w:fldCharType="separate"/>
        </w:r>
        <w:r w:rsidR="00191E87">
          <w:rPr>
            <w:noProof/>
          </w:rPr>
          <w:t>5</w:t>
        </w:r>
        <w:r>
          <w:rPr>
            <w:noProof/>
          </w:rPr>
          <w:fldChar w:fldCharType="end"/>
        </w:r>
      </w:p>
    </w:sdtContent>
  </w:sdt>
  <w:p w:rsidR="00AA559B" w:rsidRDefault="00AA55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59B"/>
    <w:rsid w:val="00001B22"/>
    <w:rsid w:val="00020958"/>
    <w:rsid w:val="000E64A9"/>
    <w:rsid w:val="00191E87"/>
    <w:rsid w:val="00205DE5"/>
    <w:rsid w:val="00230921"/>
    <w:rsid w:val="00263A5D"/>
    <w:rsid w:val="00325081"/>
    <w:rsid w:val="003D6E10"/>
    <w:rsid w:val="0043517B"/>
    <w:rsid w:val="006C4F53"/>
    <w:rsid w:val="006D2E1D"/>
    <w:rsid w:val="006E4678"/>
    <w:rsid w:val="007C5158"/>
    <w:rsid w:val="00816DEA"/>
    <w:rsid w:val="009D2263"/>
    <w:rsid w:val="009E3D10"/>
    <w:rsid w:val="009E7629"/>
    <w:rsid w:val="00A20010"/>
    <w:rsid w:val="00A42C87"/>
    <w:rsid w:val="00A52030"/>
    <w:rsid w:val="00AA1868"/>
    <w:rsid w:val="00AA43A8"/>
    <w:rsid w:val="00AA559B"/>
    <w:rsid w:val="00B52CB3"/>
    <w:rsid w:val="00C22817"/>
    <w:rsid w:val="00CD0FC2"/>
    <w:rsid w:val="00D210D2"/>
    <w:rsid w:val="00DD4F27"/>
    <w:rsid w:val="00EC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DB9E4-8E19-4ECF-B221-E3279AEC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59B"/>
  </w:style>
  <w:style w:type="paragraph" w:styleId="Footer">
    <w:name w:val="footer"/>
    <w:basedOn w:val="Normal"/>
    <w:link w:val="FooterChar"/>
    <w:uiPriority w:val="99"/>
    <w:unhideWhenUsed/>
    <w:rsid w:val="00AA55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2020-11-11T04:48:00Z</dcterms:created>
  <dcterms:modified xsi:type="dcterms:W3CDTF">2020-11-11T04:48:00Z</dcterms:modified>
</cp:coreProperties>
</file>